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spacing w:lineRule="auto" w:after="200" w:line="331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highlight w:val="white"/>
          <w:rtl w:val="0"/>
        </w:rPr>
        <w:t xml:space="preserve">September 3, 2014</w:t>
        <w:br w:type="textWrapping"/>
        <w:t xml:space="preserve">Honors Humanities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200" w:line="331"/>
        <w:contextualSpacing w:val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b w:val="1"/>
          <w:highlight w:val="white"/>
          <w:u w:val="single"/>
          <w:rtl w:val="0"/>
        </w:rPr>
        <w:t xml:space="preserve">Quotation IDs</w:t>
      </w:r>
    </w:p>
    <w:p w:rsidP="00000000" w:rsidRPr="00000000" w:rsidR="00000000" w:rsidDel="00000000" w:rsidRDefault="00000000">
      <w:pPr>
        <w:spacing w:lineRule="auto" w:after="200" w:line="331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highlight w:val="white"/>
          <w:rtl w:val="0"/>
        </w:rPr>
        <w:tab/>
        <w:t xml:space="preserve">Quotation IDs are one of the more important skills we will be working on this year. The goal of a quotation ID is to wring out the meaning of the quotation like water from a soaked washcloth. It is an essential skill to have as writer, because it helps one both to think through what a piece of writing means and to demonstrate that knowledge to someone else. Good quotation IDs are around one page long. </w:t>
      </w:r>
    </w:p>
    <w:p w:rsidP="00000000" w:rsidRPr="00000000" w:rsidR="00000000" w:rsidDel="00000000" w:rsidRDefault="00000000">
      <w:pPr>
        <w:spacing w:lineRule="auto" w:after="200" w:line="331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200" w:line="331"/>
        <w:ind w:left="0" w:firstLine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highlight w:val="white"/>
          <w:rtl w:val="0"/>
        </w:rPr>
        <w:t xml:space="preserve">Quotation IDs in this class follow the following format:</w:t>
      </w:r>
    </w:p>
    <w:p w:rsidP="00000000" w:rsidRPr="00000000" w:rsidR="00000000" w:rsidDel="00000000" w:rsidRDefault="00000000">
      <w:pPr>
        <w:spacing w:lineRule="auto" w:after="200" w:line="331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highlight w:val="white"/>
          <w:rtl w:val="0"/>
        </w:rPr>
        <w:t xml:space="preserve">1) locate the quotation within the book (set the scene, briefly)</w:t>
      </w:r>
    </w:p>
    <w:p w:rsidP="00000000" w:rsidRPr="00000000" w:rsidR="00000000" w:rsidDel="00000000" w:rsidRDefault="00000000">
      <w:pPr>
        <w:spacing w:lineRule="auto" w:after="200" w:line="331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highlight w:val="white"/>
          <w:rtl w:val="0"/>
        </w:rPr>
        <w:t xml:space="preserve">2) paraphrase the quotation</w:t>
      </w:r>
    </w:p>
    <w:p w:rsidP="00000000" w:rsidRPr="00000000" w:rsidR="00000000" w:rsidDel="00000000" w:rsidRDefault="00000000">
      <w:pPr>
        <w:spacing w:lineRule="auto" w:after="200" w:line="331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highlight w:val="white"/>
          <w:rtl w:val="0"/>
        </w:rPr>
        <w:t xml:space="preserve">3) discuss the structure of the passage (its shape or form)</w:t>
      </w:r>
    </w:p>
    <w:p w:rsidP="00000000" w:rsidRPr="00000000" w:rsidR="00000000" w:rsidDel="00000000" w:rsidRDefault="00000000">
      <w:pPr>
        <w:spacing w:lineRule="auto" w:after="200" w:line="331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highlight w:val="white"/>
          <w:rtl w:val="0"/>
        </w:rPr>
        <w:t xml:space="preserve">4) discuss the important words (ones that give the quotation weight and life)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8"/>
          <w:rtl w:val="0"/>
        </w:rPr>
        <w:t xml:space="preserve">“To the desert go prophets and hermits; through the deserts go pilgrims and exiles. Here the leaders of the great religions have sought the therapeutic and spiritual values or retreat, not to escape but to find reality.”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8"/>
          <w:rtl w:val="0"/>
        </w:rPr>
        <w:tab/>
        <w:tab/>
        <w:tab/>
        <w:tab/>
        <w:tab/>
        <w:tab/>
        <w:t xml:space="preserve">-p. 25,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8"/>
          <w:rtl w:val="0"/>
        </w:rPr>
        <w:t xml:space="preserve">ITW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humanities - quotations IDs ITW.docx</dc:title>
</cp:coreProperties>
</file>